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8D8E5" w14:textId="77777777" w:rsidR="00082A19" w:rsidRPr="00082A19" w:rsidRDefault="00BB0318" w:rsidP="00082A19">
      <w:pPr>
        <w:pStyle w:val="Titre1"/>
        <w:pBdr>
          <w:top w:val="single" w:sz="6" w:space="15" w:color="A5978A"/>
          <w:bottom w:val="single" w:sz="6" w:space="15" w:color="A5978A"/>
        </w:pBdr>
        <w:shd w:val="clear" w:color="auto" w:fill="FFFFFF"/>
        <w:spacing w:before="450" w:beforeAutospacing="0" w:after="450" w:afterAutospacing="0"/>
        <w:rPr>
          <w:rFonts w:ascii="Calibri" w:hAnsi="Calibri" w:cs="Calibri"/>
          <w:b w:val="0"/>
          <w:bCs w:val="0"/>
          <w:color w:val="1A272B"/>
          <w:sz w:val="73"/>
          <w:szCs w:val="73"/>
        </w:rPr>
      </w:pPr>
      <w:r w:rsidRPr="00BB0318">
        <w:rPr>
          <w:rFonts w:ascii="Calibri" w:hAnsi="Calibri" w:cs="Calibri"/>
          <w:color w:val="333333"/>
          <w:sz w:val="21"/>
          <w:szCs w:val="21"/>
        </w:rPr>
        <w:br/>
      </w:r>
      <w:r w:rsidR="00082A19" w:rsidRPr="00082A19">
        <w:rPr>
          <w:rFonts w:ascii="Calibri" w:hAnsi="Calibri" w:cs="Calibri"/>
          <w:b w:val="0"/>
          <w:bCs w:val="0"/>
          <w:color w:val="1A272B"/>
          <w:sz w:val="73"/>
          <w:szCs w:val="73"/>
        </w:rPr>
        <w:t>Vaccination contre la Covid-19</w:t>
      </w:r>
    </w:p>
    <w:p w14:paraId="75A5BCCE" w14:textId="77777777" w:rsidR="00082A19" w:rsidRDefault="00082A19" w:rsidP="00BB0318">
      <w:pPr>
        <w:spacing w:after="0" w:line="240" w:lineRule="auto"/>
        <w:rPr>
          <w:rFonts w:ascii="Calibri" w:hAnsi="Calibri" w:cs="Calibri"/>
          <w:color w:val="1A272B"/>
          <w:sz w:val="27"/>
          <w:szCs w:val="27"/>
          <w:shd w:val="clear" w:color="auto" w:fill="FFFFFF"/>
        </w:rPr>
      </w:pPr>
      <w:r>
        <w:rPr>
          <w:rFonts w:ascii="Calibri" w:hAnsi="Calibri" w:cs="Calibri"/>
          <w:color w:val="1A272B"/>
          <w:sz w:val="27"/>
          <w:szCs w:val="27"/>
          <w:shd w:val="clear" w:color="auto" w:fill="FFFFFF"/>
        </w:rPr>
        <w:t>Un des moyens de faire face à la Covid-19 c’est le vaccin</w:t>
      </w:r>
    </w:p>
    <w:p w14:paraId="72490F16" w14:textId="77777777" w:rsidR="00082A19" w:rsidRDefault="00082A19" w:rsidP="00BB0318">
      <w:pPr>
        <w:spacing w:after="0" w:line="240" w:lineRule="auto"/>
        <w:rPr>
          <w:rFonts w:ascii="Calibri" w:hAnsi="Calibri" w:cs="Calibri"/>
          <w:color w:val="1A272B"/>
          <w:sz w:val="27"/>
          <w:szCs w:val="27"/>
          <w:shd w:val="clear" w:color="auto" w:fill="FFFFFF"/>
        </w:rPr>
      </w:pPr>
      <w:r w:rsidRPr="00082A19">
        <w:rPr>
          <w:rFonts w:ascii="Calibri" w:hAnsi="Calibri" w:cs="Calibri"/>
          <w:color w:val="1A272B"/>
          <w:sz w:val="27"/>
          <w:szCs w:val="27"/>
          <w:shd w:val="clear" w:color="auto" w:fill="FFFFFF"/>
        </w:rPr>
        <w:t>La vaccination consiste à administrer une préparation d’antigène du virus SARS-CoV-2 afin d’apprendre à l’organisme à se protéger spécifiquement contre ce virus, en lui apprenant à fabriquer son immunité. La personne ainsi immunisée saura reconnaître le virus en cas de rencontre, grâce à certaines cellules : les lymphocytes T et surtout, saura de manière très rapide synthétiser les anticorps pour éviter la maladie ou à défaut en atténuer les effets.</w:t>
      </w:r>
    </w:p>
    <w:p w14:paraId="77D4C0B1" w14:textId="77777777" w:rsidR="00082A19" w:rsidRDefault="00082A19" w:rsidP="00BB0318">
      <w:pPr>
        <w:spacing w:after="0" w:line="240" w:lineRule="auto"/>
        <w:rPr>
          <w:rFonts w:ascii="Calibri" w:hAnsi="Calibri" w:cs="Calibri"/>
          <w:color w:val="1A272B"/>
          <w:sz w:val="27"/>
          <w:szCs w:val="27"/>
          <w:shd w:val="clear" w:color="auto" w:fill="FFFFFF"/>
        </w:rPr>
      </w:pPr>
    </w:p>
    <w:p w14:paraId="37F13053" w14:textId="77777777" w:rsidR="00082A19" w:rsidRDefault="00082A19" w:rsidP="00082A19">
      <w:pPr>
        <w:pStyle w:val="NormalWeb"/>
        <w:shd w:val="clear" w:color="auto" w:fill="FFFFFF"/>
        <w:spacing w:before="0" w:beforeAutospacing="0" w:after="0" w:afterAutospacing="0"/>
        <w:rPr>
          <w:rFonts w:ascii="Calibri" w:hAnsi="Calibri" w:cs="Calibri"/>
          <w:color w:val="1A272B"/>
          <w:sz w:val="27"/>
          <w:szCs w:val="27"/>
        </w:rPr>
      </w:pPr>
      <w:r>
        <w:rPr>
          <w:rFonts w:ascii="Calibri" w:hAnsi="Calibri" w:cs="Calibri"/>
          <w:color w:val="1A272B"/>
          <w:sz w:val="27"/>
          <w:szCs w:val="27"/>
        </w:rPr>
        <w:t>Plusieurs types de vaccins ont été développés contre le SARS-CoV-2 ; les premiers disponibles sont deux vaccins à ARN : le vaccin Comirnaty® des laboratoires Pfizer et BioNTech et le vaccin MODERNA (mRAN-1273). Devrait suivre le vaccin AstraZeneca, dit vaccin Oxford préparé sur vecteur viral non réplicatifs (ChAdOx1 nCoV-19).</w:t>
      </w:r>
    </w:p>
    <w:p w14:paraId="3AD7BAE4" w14:textId="77777777" w:rsidR="00082A19" w:rsidRDefault="00082A19" w:rsidP="00BB0318">
      <w:pPr>
        <w:spacing w:after="0" w:line="240" w:lineRule="auto"/>
        <w:rPr>
          <w:rFonts w:ascii="Calibri" w:hAnsi="Calibri" w:cs="Calibri"/>
          <w:color w:val="1A272B"/>
          <w:sz w:val="27"/>
          <w:szCs w:val="27"/>
          <w:shd w:val="clear" w:color="auto" w:fill="FFFFFF"/>
        </w:rPr>
      </w:pPr>
    </w:p>
    <w:p w14:paraId="01299566" w14:textId="77777777" w:rsidR="00082A19" w:rsidRPr="00082A19" w:rsidRDefault="00082A19" w:rsidP="00082A19">
      <w:pPr>
        <w:shd w:val="clear" w:color="auto" w:fill="FFFFFF"/>
        <w:spacing w:after="150" w:line="240" w:lineRule="auto"/>
        <w:rPr>
          <w:rFonts w:ascii="Calibri" w:eastAsia="Times New Roman" w:hAnsi="Calibri" w:cs="Calibri"/>
          <w:color w:val="1A272B"/>
          <w:sz w:val="27"/>
          <w:szCs w:val="27"/>
          <w:lang w:eastAsia="fr-FR"/>
        </w:rPr>
      </w:pPr>
      <w:r w:rsidRPr="00082A19">
        <w:rPr>
          <w:rFonts w:ascii="Calibri" w:eastAsia="Times New Roman" w:hAnsi="Calibri" w:cs="Calibri"/>
          <w:b/>
          <w:bCs/>
          <w:color w:val="1A272B"/>
          <w:sz w:val="27"/>
          <w:szCs w:val="27"/>
          <w:lang w:eastAsia="fr-FR"/>
        </w:rPr>
        <w:t>Les vaccins à ARN </w:t>
      </w:r>
      <w:r w:rsidRPr="00082A19">
        <w:rPr>
          <w:rFonts w:ascii="Calibri" w:eastAsia="Times New Roman" w:hAnsi="Calibri" w:cs="Calibri"/>
          <w:color w:val="1A272B"/>
          <w:sz w:val="27"/>
          <w:szCs w:val="27"/>
          <w:lang w:eastAsia="fr-FR"/>
        </w:rPr>
        <w:br/>
        <w:t>Le vaccin est préparé à partir d’un brin d’ARN messager (ARNm) qui code pour un antigène de surface (protéine S) nécessaire à l’attachement du virus sur le récepteur cellulaire qui est la première étape de l’infection. Ce fragment d’ARNm est préparé dans une capsule de lipides pour constituer la préparation vaccinale.</w:t>
      </w:r>
      <w:r w:rsidRPr="00082A19">
        <w:rPr>
          <w:rFonts w:ascii="Calibri" w:eastAsia="Times New Roman" w:hAnsi="Calibri" w:cs="Calibri"/>
          <w:color w:val="1A272B"/>
          <w:sz w:val="27"/>
          <w:szCs w:val="27"/>
          <w:lang w:eastAsia="fr-FR"/>
        </w:rPr>
        <w:br/>
        <w:t>Une fois injecté, l’ARNm va pénétrer dans les cellules, et va lui faire fabriquer des antigènes de surface du virus (non infectantes). Ces antigènes déclenchent une réaction immunitaire spécifique de l’organisme qui va stimuler les lymphocytes T et entraîner la fabrication d’anticorps anti Spike.</w:t>
      </w:r>
      <w:r w:rsidRPr="00082A19">
        <w:rPr>
          <w:rFonts w:ascii="Calibri" w:eastAsia="Times New Roman" w:hAnsi="Calibri" w:cs="Calibri"/>
          <w:color w:val="1A272B"/>
          <w:sz w:val="27"/>
          <w:szCs w:val="27"/>
          <w:lang w:eastAsia="fr-FR"/>
        </w:rPr>
        <w:br/>
        <w:t>L’organisme vacciné est ainsi protégé contre le virus SARS-CoV-2.</w:t>
      </w:r>
    </w:p>
    <w:p w14:paraId="335511FE" w14:textId="77777777" w:rsidR="00082A19" w:rsidRPr="00082A19" w:rsidRDefault="00082A19" w:rsidP="00082A19">
      <w:pPr>
        <w:shd w:val="clear" w:color="auto" w:fill="FFFFFF"/>
        <w:spacing w:after="150" w:line="240" w:lineRule="auto"/>
        <w:rPr>
          <w:rFonts w:ascii="Calibri" w:eastAsia="Times New Roman" w:hAnsi="Calibri" w:cs="Calibri"/>
          <w:color w:val="1A272B"/>
          <w:sz w:val="27"/>
          <w:szCs w:val="27"/>
          <w:lang w:eastAsia="fr-FR"/>
        </w:rPr>
      </w:pPr>
      <w:r w:rsidRPr="00082A19">
        <w:rPr>
          <w:rFonts w:ascii="Calibri" w:eastAsia="Times New Roman" w:hAnsi="Calibri" w:cs="Calibri"/>
          <w:color w:val="1A272B"/>
          <w:sz w:val="27"/>
          <w:szCs w:val="27"/>
          <w:lang w:eastAsia="fr-FR"/>
        </w:rPr>
        <w:t>IMPORTANT : </w:t>
      </w:r>
    </w:p>
    <w:p w14:paraId="61A00FFE" w14:textId="77777777" w:rsidR="00082A19" w:rsidRPr="00082A19" w:rsidRDefault="00082A19" w:rsidP="00082A19">
      <w:pPr>
        <w:numPr>
          <w:ilvl w:val="0"/>
          <w:numId w:val="2"/>
        </w:numPr>
        <w:shd w:val="clear" w:color="auto" w:fill="FFFFFF"/>
        <w:spacing w:before="100" w:beforeAutospacing="1" w:after="100" w:afterAutospacing="1" w:line="240" w:lineRule="auto"/>
        <w:rPr>
          <w:rFonts w:ascii="Calibri" w:eastAsia="Times New Roman" w:hAnsi="Calibri" w:cs="Calibri"/>
          <w:color w:val="1A272B"/>
          <w:sz w:val="27"/>
          <w:szCs w:val="27"/>
          <w:lang w:eastAsia="fr-FR"/>
        </w:rPr>
      </w:pPr>
      <w:r w:rsidRPr="00082A19">
        <w:rPr>
          <w:rFonts w:ascii="Calibri" w:eastAsia="Times New Roman" w:hAnsi="Calibri" w:cs="Calibri"/>
          <w:color w:val="1A272B"/>
          <w:sz w:val="27"/>
          <w:szCs w:val="27"/>
          <w:lang w:eastAsia="fr-FR"/>
        </w:rPr>
        <w:t>L’ARNm est fragile, il va disparaître rapidement des cellules.</w:t>
      </w:r>
    </w:p>
    <w:p w14:paraId="54927CFE" w14:textId="77777777" w:rsidR="00082A19" w:rsidRPr="00082A19" w:rsidRDefault="00082A19" w:rsidP="00082A19">
      <w:pPr>
        <w:numPr>
          <w:ilvl w:val="0"/>
          <w:numId w:val="2"/>
        </w:numPr>
        <w:shd w:val="clear" w:color="auto" w:fill="FFFFFF"/>
        <w:spacing w:before="100" w:beforeAutospacing="1" w:after="100" w:afterAutospacing="1" w:line="240" w:lineRule="auto"/>
        <w:rPr>
          <w:rFonts w:ascii="Calibri" w:eastAsia="Times New Roman" w:hAnsi="Calibri" w:cs="Calibri"/>
          <w:color w:val="1A272B"/>
          <w:sz w:val="27"/>
          <w:szCs w:val="27"/>
          <w:lang w:eastAsia="fr-FR"/>
        </w:rPr>
      </w:pPr>
      <w:r w:rsidRPr="00082A19">
        <w:rPr>
          <w:rFonts w:ascii="Calibri" w:eastAsia="Times New Roman" w:hAnsi="Calibri" w:cs="Calibri"/>
          <w:color w:val="1A272B"/>
          <w:sz w:val="27"/>
          <w:szCs w:val="27"/>
          <w:lang w:eastAsia="fr-FR"/>
        </w:rPr>
        <w:t>L’ARNm ne pénètre pas dans le noyau de la cellule</w:t>
      </w:r>
    </w:p>
    <w:p w14:paraId="12D20C38" w14:textId="77777777" w:rsidR="00082A19" w:rsidRPr="00082A19" w:rsidRDefault="00082A19" w:rsidP="00082A19">
      <w:pPr>
        <w:numPr>
          <w:ilvl w:val="0"/>
          <w:numId w:val="2"/>
        </w:numPr>
        <w:shd w:val="clear" w:color="auto" w:fill="FFFFFF"/>
        <w:spacing w:before="100" w:beforeAutospacing="1" w:after="100" w:afterAutospacing="1" w:line="240" w:lineRule="auto"/>
        <w:rPr>
          <w:rFonts w:ascii="Calibri" w:eastAsia="Times New Roman" w:hAnsi="Calibri" w:cs="Calibri"/>
          <w:color w:val="1A272B"/>
          <w:sz w:val="27"/>
          <w:szCs w:val="27"/>
          <w:lang w:eastAsia="fr-FR"/>
        </w:rPr>
      </w:pPr>
      <w:r w:rsidRPr="00082A19">
        <w:rPr>
          <w:rFonts w:ascii="Calibri" w:eastAsia="Times New Roman" w:hAnsi="Calibri" w:cs="Calibri"/>
          <w:color w:val="1A272B"/>
          <w:sz w:val="27"/>
          <w:szCs w:val="27"/>
          <w:lang w:eastAsia="fr-FR"/>
        </w:rPr>
        <w:t>L’ARNm ne peut en aucun cas être retranscrit en ADN</w:t>
      </w:r>
    </w:p>
    <w:p w14:paraId="1F2B820F" w14:textId="77777777" w:rsidR="00082A19" w:rsidRPr="00082A19" w:rsidRDefault="00082A19" w:rsidP="00082A19">
      <w:pPr>
        <w:numPr>
          <w:ilvl w:val="0"/>
          <w:numId w:val="2"/>
        </w:numPr>
        <w:shd w:val="clear" w:color="auto" w:fill="FFFFFF"/>
        <w:spacing w:before="100" w:beforeAutospacing="1" w:after="100" w:afterAutospacing="1" w:line="240" w:lineRule="auto"/>
        <w:rPr>
          <w:rFonts w:ascii="Calibri" w:eastAsia="Times New Roman" w:hAnsi="Calibri" w:cs="Calibri"/>
          <w:color w:val="1A272B"/>
          <w:sz w:val="27"/>
          <w:szCs w:val="27"/>
          <w:lang w:eastAsia="fr-FR"/>
        </w:rPr>
      </w:pPr>
      <w:r w:rsidRPr="00082A19">
        <w:rPr>
          <w:rFonts w:ascii="Calibri" w:eastAsia="Times New Roman" w:hAnsi="Calibri" w:cs="Calibri"/>
          <w:color w:val="1A272B"/>
          <w:sz w:val="27"/>
          <w:szCs w:val="27"/>
          <w:lang w:eastAsia="fr-FR"/>
        </w:rPr>
        <w:t>Le génome de la personne vaccinée ne peut en aucun cas être modifié</w:t>
      </w:r>
    </w:p>
    <w:p w14:paraId="63293863" w14:textId="77777777" w:rsidR="00082A19" w:rsidRPr="00082A19" w:rsidRDefault="00082A19" w:rsidP="00082A19">
      <w:pPr>
        <w:numPr>
          <w:ilvl w:val="0"/>
          <w:numId w:val="2"/>
        </w:numPr>
        <w:shd w:val="clear" w:color="auto" w:fill="FFFFFF"/>
        <w:spacing w:before="100" w:beforeAutospacing="1" w:after="100" w:afterAutospacing="1" w:line="240" w:lineRule="auto"/>
        <w:rPr>
          <w:rFonts w:ascii="Calibri" w:eastAsia="Times New Roman" w:hAnsi="Calibri" w:cs="Calibri"/>
          <w:color w:val="1A272B"/>
          <w:sz w:val="27"/>
          <w:szCs w:val="27"/>
          <w:lang w:eastAsia="fr-FR"/>
        </w:rPr>
      </w:pPr>
      <w:r w:rsidRPr="00082A19">
        <w:rPr>
          <w:rFonts w:ascii="Calibri" w:eastAsia="Times New Roman" w:hAnsi="Calibri" w:cs="Calibri"/>
          <w:color w:val="1A272B"/>
          <w:sz w:val="27"/>
          <w:szCs w:val="27"/>
          <w:lang w:eastAsia="fr-FR"/>
        </w:rPr>
        <w:t>Ce n’est pas une thérapie génique</w:t>
      </w:r>
    </w:p>
    <w:p w14:paraId="3F651DFC" w14:textId="77777777" w:rsidR="00082A19" w:rsidRDefault="00082A19" w:rsidP="00BB0318">
      <w:pPr>
        <w:spacing w:after="0" w:line="240" w:lineRule="auto"/>
        <w:rPr>
          <w:rFonts w:ascii="Calibri" w:eastAsia="Times New Roman" w:hAnsi="Calibri" w:cs="Calibri"/>
          <w:b/>
          <w:bCs/>
          <w:color w:val="1A272B"/>
          <w:sz w:val="27"/>
          <w:szCs w:val="27"/>
          <w:lang w:eastAsia="fr-FR"/>
        </w:rPr>
      </w:pPr>
    </w:p>
    <w:p w14:paraId="253C153B" w14:textId="77777777" w:rsidR="00082A19" w:rsidRDefault="00082A19" w:rsidP="00BB0318">
      <w:pPr>
        <w:spacing w:after="0" w:line="240" w:lineRule="auto"/>
        <w:rPr>
          <w:rFonts w:ascii="Calibri" w:eastAsia="Times New Roman" w:hAnsi="Calibri" w:cs="Calibri"/>
          <w:b/>
          <w:bCs/>
          <w:color w:val="1A272B"/>
          <w:sz w:val="27"/>
          <w:szCs w:val="27"/>
          <w:lang w:eastAsia="fr-FR"/>
        </w:rPr>
      </w:pPr>
    </w:p>
    <w:p w14:paraId="0D073341" w14:textId="77777777" w:rsidR="00082A19" w:rsidRPr="00082A19" w:rsidRDefault="00082A19" w:rsidP="00BB0318">
      <w:pPr>
        <w:spacing w:after="0" w:line="240" w:lineRule="auto"/>
        <w:rPr>
          <w:rFonts w:ascii="Calibri" w:eastAsia="Times New Roman" w:hAnsi="Calibri" w:cs="Calibri"/>
          <w:b/>
          <w:bCs/>
          <w:color w:val="1A272B"/>
          <w:sz w:val="27"/>
          <w:szCs w:val="27"/>
          <w:lang w:eastAsia="fr-FR"/>
        </w:rPr>
      </w:pPr>
      <w:r w:rsidRPr="00082A19">
        <w:rPr>
          <w:rFonts w:ascii="Calibri" w:eastAsia="Times New Roman" w:hAnsi="Calibri" w:cs="Calibri"/>
          <w:b/>
          <w:bCs/>
          <w:color w:val="1A272B"/>
          <w:sz w:val="27"/>
          <w:szCs w:val="27"/>
          <w:lang w:eastAsia="fr-FR"/>
        </w:rPr>
        <w:lastRenderedPageBreak/>
        <w:t>L</w:t>
      </w:r>
      <w:r>
        <w:rPr>
          <w:rFonts w:ascii="Calibri" w:eastAsia="Times New Roman" w:hAnsi="Calibri" w:cs="Calibri"/>
          <w:b/>
          <w:bCs/>
          <w:color w:val="1A272B"/>
          <w:sz w:val="27"/>
          <w:szCs w:val="27"/>
          <w:lang w:eastAsia="fr-FR"/>
        </w:rPr>
        <w:t>’efficacité des va</w:t>
      </w:r>
      <w:r w:rsidRPr="00082A19">
        <w:rPr>
          <w:rFonts w:ascii="Calibri" w:eastAsia="Times New Roman" w:hAnsi="Calibri" w:cs="Calibri"/>
          <w:b/>
          <w:bCs/>
          <w:color w:val="1A272B"/>
          <w:sz w:val="27"/>
          <w:szCs w:val="27"/>
          <w:lang w:eastAsia="fr-FR"/>
        </w:rPr>
        <w:t>ccin</w:t>
      </w:r>
      <w:r>
        <w:rPr>
          <w:rFonts w:ascii="Calibri" w:eastAsia="Times New Roman" w:hAnsi="Calibri" w:cs="Calibri"/>
          <w:b/>
          <w:bCs/>
          <w:color w:val="1A272B"/>
          <w:sz w:val="27"/>
          <w:szCs w:val="27"/>
          <w:lang w:eastAsia="fr-FR"/>
        </w:rPr>
        <w:t>s</w:t>
      </w:r>
      <w:r w:rsidRPr="00082A19">
        <w:rPr>
          <w:rFonts w:ascii="Calibri" w:eastAsia="Times New Roman" w:hAnsi="Calibri" w:cs="Calibri"/>
          <w:b/>
          <w:bCs/>
          <w:color w:val="1A272B"/>
          <w:sz w:val="27"/>
          <w:szCs w:val="27"/>
          <w:lang w:eastAsia="fr-FR"/>
        </w:rPr>
        <w:t xml:space="preserve"> ARN</w:t>
      </w:r>
    </w:p>
    <w:p w14:paraId="68460EA4" w14:textId="77777777" w:rsidR="00082A19" w:rsidRDefault="00082A19" w:rsidP="00BB0318">
      <w:pPr>
        <w:spacing w:after="0" w:line="240" w:lineRule="auto"/>
        <w:rPr>
          <w:rFonts w:ascii="Calibri" w:hAnsi="Calibri" w:cs="Calibri"/>
          <w:color w:val="1A272B"/>
          <w:sz w:val="27"/>
          <w:szCs w:val="27"/>
          <w:shd w:val="clear" w:color="auto" w:fill="FFFFFF"/>
        </w:rPr>
      </w:pPr>
      <w:r w:rsidRPr="00082A19">
        <w:rPr>
          <w:rFonts w:ascii="Calibri" w:hAnsi="Calibri" w:cs="Calibri"/>
          <w:color w:val="1A272B"/>
          <w:sz w:val="27"/>
          <w:szCs w:val="27"/>
          <w:shd w:val="clear" w:color="auto" w:fill="FFFFFF"/>
        </w:rPr>
        <w:t>L’efficacité vaccinale obtenue dans les essais est de l’ordre de 95% avec les deux vaccins à ARN ayant fait l’objet de publication scientifique et de l’ordre de 70% avec le vaccin ChAdOx1 nCoV-19 d’AstraZeneca. La population étudiée comportait des sujets âgés avec des analyses en sous-groupe et des patients avec comorbidités. Le taux de protection est jugé satisfaisant.</w:t>
      </w:r>
    </w:p>
    <w:p w14:paraId="62AC9519" w14:textId="77777777" w:rsidR="00082A19" w:rsidRDefault="00082A19" w:rsidP="00BB0318">
      <w:pPr>
        <w:spacing w:after="0" w:line="240" w:lineRule="auto"/>
        <w:rPr>
          <w:rFonts w:ascii="Calibri" w:hAnsi="Calibri" w:cs="Calibri"/>
          <w:color w:val="1A272B"/>
          <w:sz w:val="27"/>
          <w:szCs w:val="27"/>
          <w:shd w:val="clear" w:color="auto" w:fill="FFFFFF"/>
        </w:rPr>
      </w:pPr>
    </w:p>
    <w:p w14:paraId="11E0D306" w14:textId="77777777" w:rsidR="00193AA3" w:rsidRDefault="00193AA3" w:rsidP="00193AA3">
      <w:pPr>
        <w:spacing w:after="0" w:line="240" w:lineRule="auto"/>
        <w:rPr>
          <w:rFonts w:ascii="Calibri" w:eastAsia="Times New Roman" w:hAnsi="Calibri" w:cs="Calibri"/>
          <w:b/>
          <w:bCs/>
          <w:color w:val="1A272B"/>
          <w:sz w:val="27"/>
          <w:szCs w:val="27"/>
          <w:lang w:eastAsia="fr-FR"/>
        </w:rPr>
      </w:pPr>
      <w:r w:rsidRPr="00082A19">
        <w:rPr>
          <w:rFonts w:ascii="Calibri" w:eastAsia="Times New Roman" w:hAnsi="Calibri" w:cs="Calibri"/>
          <w:b/>
          <w:bCs/>
          <w:color w:val="1A272B"/>
          <w:sz w:val="27"/>
          <w:szCs w:val="27"/>
          <w:lang w:eastAsia="fr-FR"/>
        </w:rPr>
        <w:t>Les vaccins à ARN </w:t>
      </w:r>
      <w:r>
        <w:rPr>
          <w:rFonts w:ascii="Calibri" w:eastAsia="Times New Roman" w:hAnsi="Calibri" w:cs="Calibri"/>
          <w:b/>
          <w:bCs/>
          <w:color w:val="1A272B"/>
          <w:sz w:val="27"/>
          <w:szCs w:val="27"/>
          <w:lang w:eastAsia="fr-FR"/>
        </w:rPr>
        <w:t>sont-ils sûrs ?</w:t>
      </w:r>
    </w:p>
    <w:p w14:paraId="790C5914" w14:textId="77777777" w:rsidR="00082A19" w:rsidRPr="00082A19" w:rsidRDefault="00082A19" w:rsidP="00082A19">
      <w:pPr>
        <w:spacing w:after="0" w:line="240" w:lineRule="auto"/>
        <w:rPr>
          <w:rFonts w:ascii="Calibri" w:hAnsi="Calibri" w:cs="Calibri"/>
          <w:color w:val="1A272B"/>
          <w:sz w:val="27"/>
          <w:szCs w:val="27"/>
          <w:shd w:val="clear" w:color="auto" w:fill="FFFFFF"/>
        </w:rPr>
      </w:pPr>
      <w:r>
        <w:rPr>
          <w:rFonts w:ascii="Calibri" w:hAnsi="Calibri" w:cs="Calibri"/>
          <w:color w:val="1A272B"/>
          <w:sz w:val="27"/>
          <w:szCs w:val="27"/>
          <w:shd w:val="clear" w:color="auto" w:fill="FFFFFF"/>
        </w:rPr>
        <w:t>L</w:t>
      </w:r>
      <w:r w:rsidRPr="00082A19">
        <w:rPr>
          <w:rFonts w:ascii="Calibri" w:hAnsi="Calibri" w:cs="Calibri"/>
          <w:color w:val="1A272B"/>
          <w:sz w:val="27"/>
          <w:szCs w:val="27"/>
          <w:shd w:val="clear" w:color="auto" w:fill="FFFFFF"/>
        </w:rPr>
        <w:t>ors des premières phases de développement, il n’a pas été signalé d’effet indésirable grave.</w:t>
      </w:r>
    </w:p>
    <w:p w14:paraId="69C2548A" w14:textId="77777777" w:rsidR="00082A19" w:rsidRPr="00082A19" w:rsidRDefault="00082A19" w:rsidP="00082A19">
      <w:pPr>
        <w:spacing w:after="0" w:line="240" w:lineRule="auto"/>
        <w:rPr>
          <w:rFonts w:ascii="Calibri" w:hAnsi="Calibri" w:cs="Calibri"/>
          <w:color w:val="1A272B"/>
          <w:sz w:val="27"/>
          <w:szCs w:val="27"/>
          <w:shd w:val="clear" w:color="auto" w:fill="FFFFFF"/>
        </w:rPr>
      </w:pPr>
    </w:p>
    <w:p w14:paraId="5F323122" w14:textId="77777777" w:rsidR="00082A19" w:rsidRPr="00082A19" w:rsidRDefault="00082A19" w:rsidP="00082A19">
      <w:pPr>
        <w:spacing w:after="0" w:line="240" w:lineRule="auto"/>
        <w:rPr>
          <w:rFonts w:ascii="Calibri" w:hAnsi="Calibri" w:cs="Calibri"/>
          <w:color w:val="1A272B"/>
          <w:sz w:val="27"/>
          <w:szCs w:val="27"/>
          <w:shd w:val="clear" w:color="auto" w:fill="FFFFFF"/>
        </w:rPr>
      </w:pPr>
      <w:r w:rsidRPr="00082A19">
        <w:rPr>
          <w:rFonts w:ascii="Calibri" w:hAnsi="Calibri" w:cs="Calibri"/>
          <w:color w:val="1A272B"/>
          <w:sz w:val="27"/>
          <w:szCs w:val="27"/>
          <w:shd w:val="clear" w:color="auto" w:fill="FFFFFF"/>
        </w:rPr>
        <w:t xml:space="preserve">Les principaux événements indésirables relevés sont classiquement décrits avec les vaccins : douleur au point d’injection, fatigue, céphalées, fièvre, arthralgies et myalgies. </w:t>
      </w:r>
    </w:p>
    <w:p w14:paraId="2393E0FC" w14:textId="77777777" w:rsidR="00082A19" w:rsidRPr="00082A19" w:rsidRDefault="00082A19" w:rsidP="00082A19">
      <w:pPr>
        <w:spacing w:after="0" w:line="240" w:lineRule="auto"/>
        <w:rPr>
          <w:rFonts w:ascii="Calibri" w:hAnsi="Calibri" w:cs="Calibri"/>
          <w:color w:val="1A272B"/>
          <w:sz w:val="27"/>
          <w:szCs w:val="27"/>
          <w:shd w:val="clear" w:color="auto" w:fill="FFFFFF"/>
        </w:rPr>
      </w:pPr>
    </w:p>
    <w:p w14:paraId="7B2AF225" w14:textId="77777777" w:rsidR="00082A19" w:rsidRPr="00082A19" w:rsidRDefault="00082A19" w:rsidP="00082A19">
      <w:pPr>
        <w:spacing w:after="0" w:line="240" w:lineRule="auto"/>
        <w:rPr>
          <w:rFonts w:ascii="Calibri" w:hAnsi="Calibri" w:cs="Calibri"/>
          <w:color w:val="1A272B"/>
          <w:sz w:val="27"/>
          <w:szCs w:val="27"/>
          <w:shd w:val="clear" w:color="auto" w:fill="FFFFFF"/>
        </w:rPr>
      </w:pPr>
      <w:r w:rsidRPr="00082A19">
        <w:rPr>
          <w:rFonts w:ascii="Calibri" w:hAnsi="Calibri" w:cs="Calibri"/>
          <w:color w:val="1A272B"/>
          <w:sz w:val="27"/>
          <w:szCs w:val="27"/>
          <w:shd w:val="clear" w:color="auto" w:fill="FFFFFF"/>
        </w:rPr>
        <w:t>Or, on sait très bien qu’il faut plusieurs dizaines de milliers ou de millions de personnes pour voir émerger certains effets indésirables, ou un délai de suivi prolongé. C’est la raison pour laquelle les personnes vaccinées dans le cadre d’essais, font l’objet d’un suivi prolongé.</w:t>
      </w:r>
    </w:p>
    <w:p w14:paraId="39986409" w14:textId="77777777" w:rsidR="00082A19" w:rsidRPr="00082A19" w:rsidRDefault="00082A19" w:rsidP="00082A19">
      <w:pPr>
        <w:spacing w:after="0" w:line="240" w:lineRule="auto"/>
        <w:rPr>
          <w:rFonts w:ascii="Calibri" w:hAnsi="Calibri" w:cs="Calibri"/>
          <w:color w:val="1A272B"/>
          <w:sz w:val="27"/>
          <w:szCs w:val="27"/>
          <w:shd w:val="clear" w:color="auto" w:fill="FFFFFF"/>
        </w:rPr>
      </w:pPr>
    </w:p>
    <w:p w14:paraId="26428B02" w14:textId="77777777" w:rsidR="00082A19" w:rsidRDefault="00082A19" w:rsidP="00082A19">
      <w:pPr>
        <w:spacing w:after="0" w:line="240" w:lineRule="auto"/>
        <w:rPr>
          <w:rFonts w:ascii="Calibri" w:hAnsi="Calibri" w:cs="Calibri"/>
          <w:color w:val="1A272B"/>
          <w:sz w:val="27"/>
          <w:szCs w:val="27"/>
          <w:shd w:val="clear" w:color="auto" w:fill="FFFFFF"/>
        </w:rPr>
      </w:pPr>
      <w:r w:rsidRPr="00082A19">
        <w:rPr>
          <w:rFonts w:ascii="Calibri" w:hAnsi="Calibri" w:cs="Calibri"/>
          <w:color w:val="1A272B"/>
          <w:sz w:val="27"/>
          <w:szCs w:val="27"/>
          <w:shd w:val="clear" w:color="auto" w:fill="FFFFFF"/>
        </w:rPr>
        <w:t>La balance bénéfice risque a été jugée favorable par la Food and Drug Administration, l’European Medicines Agency et l’Agence Nationale de Sécurité du Médicament pour le vaccin Comirnaty® , seul autorisé à ce jour.</w:t>
      </w:r>
    </w:p>
    <w:p w14:paraId="61DB881E" w14:textId="77777777" w:rsidR="00193AA3" w:rsidRDefault="00193AA3" w:rsidP="00082A19">
      <w:pPr>
        <w:spacing w:after="0" w:line="240" w:lineRule="auto"/>
        <w:rPr>
          <w:rFonts w:ascii="Calibri" w:hAnsi="Calibri" w:cs="Calibri"/>
          <w:color w:val="1A272B"/>
          <w:sz w:val="27"/>
          <w:szCs w:val="27"/>
          <w:shd w:val="clear" w:color="auto" w:fill="FFFFFF"/>
        </w:rPr>
      </w:pPr>
    </w:p>
    <w:p w14:paraId="3E01D02C" w14:textId="77777777" w:rsidR="00193AA3" w:rsidRDefault="00193AA3" w:rsidP="00082A19">
      <w:pPr>
        <w:spacing w:after="0" w:line="240" w:lineRule="auto"/>
        <w:rPr>
          <w:rFonts w:ascii="Calibri" w:eastAsia="Times New Roman" w:hAnsi="Calibri" w:cs="Calibri"/>
          <w:b/>
          <w:bCs/>
          <w:color w:val="1A272B"/>
          <w:sz w:val="27"/>
          <w:szCs w:val="27"/>
          <w:lang w:eastAsia="fr-FR"/>
        </w:rPr>
      </w:pPr>
    </w:p>
    <w:p w14:paraId="669C09B0" w14:textId="77777777" w:rsidR="00193AA3" w:rsidRPr="00510A0D" w:rsidRDefault="00193AA3" w:rsidP="00193AA3">
      <w:pPr>
        <w:pStyle w:val="Titre3"/>
        <w:shd w:val="clear" w:color="auto" w:fill="FFFFFF"/>
        <w:spacing w:before="240" w:after="240"/>
        <w:jc w:val="center"/>
        <w:rPr>
          <w:rFonts w:ascii="Calibri" w:hAnsi="Calibri" w:cs="Calibri"/>
          <w:b/>
          <w:color w:val="333333"/>
          <w:sz w:val="52"/>
          <w:szCs w:val="52"/>
        </w:rPr>
      </w:pPr>
      <w:r w:rsidRPr="00510A0D">
        <w:rPr>
          <w:rFonts w:ascii="Calibri" w:hAnsi="Calibri" w:cs="Calibri"/>
          <w:b/>
          <w:color w:val="333333"/>
          <w:sz w:val="52"/>
          <w:szCs w:val="52"/>
        </w:rPr>
        <w:t>la campagne de vaccination a démarré.</w:t>
      </w:r>
      <w:r w:rsidRPr="00510A0D">
        <w:rPr>
          <w:rFonts w:ascii="Calibri" w:hAnsi="Calibri" w:cs="Calibri"/>
          <w:b/>
          <w:color w:val="333333"/>
          <w:sz w:val="52"/>
          <w:szCs w:val="52"/>
        </w:rPr>
        <w:br/>
        <w:t>Sont concernés :</w:t>
      </w:r>
    </w:p>
    <w:p w14:paraId="0B2C9FC0" w14:textId="77777777" w:rsidR="00193AA3" w:rsidRPr="00510A0D" w:rsidRDefault="00193AA3" w:rsidP="00082A19">
      <w:pPr>
        <w:spacing w:after="0" w:line="240" w:lineRule="auto"/>
        <w:rPr>
          <w:rFonts w:ascii="Calibri" w:hAnsi="Calibri" w:cs="Calibri"/>
          <w:color w:val="1A272B"/>
          <w:sz w:val="52"/>
          <w:szCs w:val="52"/>
          <w:shd w:val="clear" w:color="auto" w:fill="FFFFFF"/>
        </w:rPr>
      </w:pPr>
    </w:p>
    <w:p w14:paraId="49F93110" w14:textId="77777777" w:rsidR="00BB0318" w:rsidRPr="00BB0318" w:rsidRDefault="00BB0318" w:rsidP="00BB0318">
      <w:pPr>
        <w:spacing w:after="0" w:line="240" w:lineRule="auto"/>
        <w:rPr>
          <w:rFonts w:ascii="Calibri" w:eastAsia="Times New Roman" w:hAnsi="Calibri" w:cs="Calibri"/>
          <w:color w:val="1A272B"/>
          <w:sz w:val="27"/>
          <w:szCs w:val="27"/>
          <w:lang w:eastAsia="fr-FR"/>
        </w:rPr>
      </w:pPr>
      <w:r w:rsidRPr="00510A0D">
        <w:rPr>
          <w:rFonts w:ascii="Calibri" w:eastAsia="Times New Roman" w:hAnsi="Calibri" w:cs="Calibri"/>
          <w:b/>
          <w:bCs/>
          <w:color w:val="1A272B"/>
          <w:sz w:val="28"/>
          <w:szCs w:val="28"/>
          <w:lang w:eastAsia="fr-FR"/>
        </w:rPr>
        <w:t>Les professionnels de 50 ans et + et/ou dits "à risque de forme grave"  :</w:t>
      </w:r>
      <w:r w:rsidRPr="00510A0D">
        <w:rPr>
          <w:rFonts w:ascii="Calibri" w:eastAsia="Times New Roman" w:hAnsi="Calibri" w:cs="Calibri"/>
          <w:b/>
          <w:bCs/>
          <w:color w:val="1A272B"/>
          <w:sz w:val="28"/>
          <w:szCs w:val="28"/>
          <w:lang w:eastAsia="fr-FR"/>
        </w:rPr>
        <w:br/>
      </w:r>
      <w:r w:rsidRPr="00BB0318">
        <w:rPr>
          <w:rFonts w:ascii="Calibri" w:eastAsia="Times New Roman" w:hAnsi="Calibri" w:cs="Calibri"/>
          <w:color w:val="333333"/>
          <w:sz w:val="21"/>
          <w:szCs w:val="21"/>
          <w:lang w:eastAsia="fr-FR"/>
        </w:rPr>
        <w:br/>
      </w:r>
      <w:r w:rsidRPr="00BB0318">
        <w:rPr>
          <w:rFonts w:ascii="Calibri" w:eastAsia="Times New Roman" w:hAnsi="Calibri" w:cs="Calibri"/>
          <w:color w:val="1A272B"/>
          <w:sz w:val="27"/>
          <w:szCs w:val="27"/>
          <w:lang w:eastAsia="fr-FR"/>
        </w:rPr>
        <w:t>- Qu'entend-on par "à risque de forme grave" ?</w:t>
      </w:r>
      <w:r w:rsidRPr="00BB0318">
        <w:rPr>
          <w:rFonts w:ascii="Calibri" w:eastAsia="Times New Roman" w:hAnsi="Calibri" w:cs="Calibri"/>
          <w:color w:val="1A272B"/>
          <w:sz w:val="27"/>
          <w:szCs w:val="27"/>
          <w:lang w:eastAsia="fr-FR"/>
        </w:rPr>
        <w:br/>
      </w:r>
      <w:r w:rsidRPr="00BB0318">
        <w:rPr>
          <w:rFonts w:ascii="Calibri" w:eastAsia="Times New Roman" w:hAnsi="Calibri" w:cs="Calibri"/>
          <w:color w:val="1A272B"/>
          <w:sz w:val="27"/>
          <w:szCs w:val="27"/>
          <w:lang w:eastAsia="fr-FR"/>
        </w:rPr>
        <w:br/>
        <w:t>Selon les avis rendus par le Haut Conseil de la Santé Publique et la Haute Autorité de Santé, les personnels atteints d’une ou plusieurs des pathologies chroniques suivantes sont à risque de forme grave de Covid-19, et ont ainsi accès de façon prioritaire à la vaccination :</w:t>
      </w:r>
    </w:p>
    <w:p w14:paraId="77DC0202" w14:textId="77777777" w:rsidR="00BB0318" w:rsidRPr="00BB0318" w:rsidRDefault="00BB0318" w:rsidP="00BB0318">
      <w:pPr>
        <w:numPr>
          <w:ilvl w:val="0"/>
          <w:numId w:val="1"/>
        </w:numPr>
        <w:shd w:val="clear" w:color="auto" w:fill="FFFFFF"/>
        <w:spacing w:before="100" w:beforeAutospacing="1" w:after="100" w:afterAutospacing="1" w:line="240" w:lineRule="auto"/>
        <w:ind w:left="0"/>
        <w:rPr>
          <w:rFonts w:ascii="Calibri" w:eastAsia="Times New Roman" w:hAnsi="Calibri" w:cs="Calibri"/>
          <w:color w:val="1A272B"/>
          <w:sz w:val="27"/>
          <w:szCs w:val="27"/>
          <w:lang w:eastAsia="fr-FR"/>
        </w:rPr>
      </w:pPr>
      <w:r w:rsidRPr="00BB0318">
        <w:rPr>
          <w:rFonts w:ascii="Calibri" w:eastAsia="Times New Roman" w:hAnsi="Calibri" w:cs="Calibri"/>
          <w:color w:val="1A272B"/>
          <w:sz w:val="27"/>
          <w:szCs w:val="27"/>
          <w:lang w:eastAsia="fr-FR"/>
        </w:rPr>
        <w:t xml:space="preserve"> obésité (IMC &gt; 30), particulièrement chez les plus jeunes</w:t>
      </w:r>
    </w:p>
    <w:p w14:paraId="4E4606B4" w14:textId="77777777" w:rsidR="00BB0318" w:rsidRPr="00BB0318" w:rsidRDefault="00BB0318" w:rsidP="00BB0318">
      <w:pPr>
        <w:numPr>
          <w:ilvl w:val="0"/>
          <w:numId w:val="1"/>
        </w:numPr>
        <w:shd w:val="clear" w:color="auto" w:fill="FFFFFF"/>
        <w:spacing w:before="100" w:beforeAutospacing="1" w:after="100" w:afterAutospacing="1" w:line="240" w:lineRule="auto"/>
        <w:ind w:left="0"/>
        <w:rPr>
          <w:rFonts w:ascii="Calibri" w:eastAsia="Times New Roman" w:hAnsi="Calibri" w:cs="Calibri"/>
          <w:color w:val="1A272B"/>
          <w:sz w:val="27"/>
          <w:szCs w:val="27"/>
          <w:lang w:eastAsia="fr-FR"/>
        </w:rPr>
      </w:pPr>
      <w:r w:rsidRPr="00BB0318">
        <w:rPr>
          <w:rFonts w:ascii="Calibri" w:eastAsia="Times New Roman" w:hAnsi="Calibri" w:cs="Calibri"/>
          <w:color w:val="1A272B"/>
          <w:sz w:val="27"/>
          <w:szCs w:val="27"/>
          <w:lang w:eastAsia="fr-FR"/>
        </w:rPr>
        <w:lastRenderedPageBreak/>
        <w:t>bronchopathie chronique obstructive et/ou une insuffisance respiratoire</w:t>
      </w:r>
    </w:p>
    <w:p w14:paraId="6F7C0A85" w14:textId="77777777" w:rsidR="00BB0318" w:rsidRPr="00BB0318" w:rsidRDefault="00BB0318" w:rsidP="00BB0318">
      <w:pPr>
        <w:numPr>
          <w:ilvl w:val="0"/>
          <w:numId w:val="1"/>
        </w:numPr>
        <w:shd w:val="clear" w:color="auto" w:fill="FFFFFF"/>
        <w:spacing w:before="100" w:beforeAutospacing="1" w:after="100" w:afterAutospacing="1" w:line="240" w:lineRule="auto"/>
        <w:ind w:left="0"/>
        <w:rPr>
          <w:rFonts w:ascii="Calibri" w:eastAsia="Times New Roman" w:hAnsi="Calibri" w:cs="Calibri"/>
          <w:color w:val="1A272B"/>
          <w:sz w:val="27"/>
          <w:szCs w:val="27"/>
          <w:lang w:eastAsia="fr-FR"/>
        </w:rPr>
      </w:pPr>
      <w:r w:rsidRPr="00BB0318">
        <w:rPr>
          <w:rFonts w:ascii="Calibri" w:eastAsia="Times New Roman" w:hAnsi="Calibri" w:cs="Calibri"/>
          <w:color w:val="1A272B"/>
          <w:sz w:val="27"/>
          <w:szCs w:val="27"/>
          <w:lang w:eastAsia="fr-FR"/>
        </w:rPr>
        <w:t>hypertension artérielle compliquée</w:t>
      </w:r>
    </w:p>
    <w:p w14:paraId="04AC7613" w14:textId="77777777" w:rsidR="00BB0318" w:rsidRPr="00BB0318" w:rsidRDefault="00BB0318" w:rsidP="00BB0318">
      <w:pPr>
        <w:numPr>
          <w:ilvl w:val="0"/>
          <w:numId w:val="1"/>
        </w:numPr>
        <w:shd w:val="clear" w:color="auto" w:fill="FFFFFF"/>
        <w:spacing w:before="100" w:beforeAutospacing="1" w:after="100" w:afterAutospacing="1" w:line="240" w:lineRule="auto"/>
        <w:ind w:left="0"/>
        <w:rPr>
          <w:rFonts w:ascii="Calibri" w:eastAsia="Times New Roman" w:hAnsi="Calibri" w:cs="Calibri"/>
          <w:color w:val="1A272B"/>
          <w:sz w:val="27"/>
          <w:szCs w:val="27"/>
          <w:lang w:eastAsia="fr-FR"/>
        </w:rPr>
      </w:pPr>
      <w:r w:rsidRPr="00BB0318">
        <w:rPr>
          <w:rFonts w:ascii="Calibri" w:eastAsia="Times New Roman" w:hAnsi="Calibri" w:cs="Calibri"/>
          <w:color w:val="1A272B"/>
          <w:sz w:val="27"/>
          <w:szCs w:val="27"/>
          <w:lang w:eastAsia="fr-FR"/>
        </w:rPr>
        <w:t>insuffisance cardiaque</w:t>
      </w:r>
    </w:p>
    <w:p w14:paraId="673A5DCA" w14:textId="77777777" w:rsidR="00BB0318" w:rsidRPr="00BB0318" w:rsidRDefault="00BB0318" w:rsidP="00BB0318">
      <w:pPr>
        <w:numPr>
          <w:ilvl w:val="0"/>
          <w:numId w:val="1"/>
        </w:numPr>
        <w:shd w:val="clear" w:color="auto" w:fill="FFFFFF"/>
        <w:spacing w:before="100" w:beforeAutospacing="1" w:after="100" w:afterAutospacing="1" w:line="240" w:lineRule="auto"/>
        <w:ind w:left="0"/>
        <w:rPr>
          <w:rFonts w:ascii="Calibri" w:eastAsia="Times New Roman" w:hAnsi="Calibri" w:cs="Calibri"/>
          <w:color w:val="1A272B"/>
          <w:sz w:val="27"/>
          <w:szCs w:val="27"/>
          <w:lang w:eastAsia="fr-FR"/>
        </w:rPr>
      </w:pPr>
      <w:r w:rsidRPr="00BB0318">
        <w:rPr>
          <w:rFonts w:ascii="Calibri" w:eastAsia="Times New Roman" w:hAnsi="Calibri" w:cs="Calibri"/>
          <w:color w:val="1A272B"/>
          <w:sz w:val="27"/>
          <w:szCs w:val="27"/>
          <w:lang w:eastAsia="fr-FR"/>
        </w:rPr>
        <w:t>diabète (de type 1 et de type 2)</w:t>
      </w:r>
    </w:p>
    <w:p w14:paraId="452CF2A3" w14:textId="77777777" w:rsidR="00BB0318" w:rsidRPr="00BB0318" w:rsidRDefault="00BB0318" w:rsidP="00BB0318">
      <w:pPr>
        <w:numPr>
          <w:ilvl w:val="0"/>
          <w:numId w:val="1"/>
        </w:numPr>
        <w:shd w:val="clear" w:color="auto" w:fill="FFFFFF"/>
        <w:spacing w:before="100" w:beforeAutospacing="1" w:after="100" w:afterAutospacing="1" w:line="240" w:lineRule="auto"/>
        <w:ind w:left="0"/>
        <w:rPr>
          <w:rFonts w:ascii="Calibri" w:eastAsia="Times New Roman" w:hAnsi="Calibri" w:cs="Calibri"/>
          <w:color w:val="1A272B"/>
          <w:sz w:val="27"/>
          <w:szCs w:val="27"/>
          <w:lang w:eastAsia="fr-FR"/>
        </w:rPr>
      </w:pPr>
      <w:r w:rsidRPr="00BB0318">
        <w:rPr>
          <w:rFonts w:ascii="Calibri" w:eastAsia="Times New Roman" w:hAnsi="Calibri" w:cs="Calibri"/>
          <w:color w:val="1A272B"/>
          <w:sz w:val="27"/>
          <w:szCs w:val="27"/>
          <w:lang w:eastAsia="fr-FR"/>
        </w:rPr>
        <w:t>insuffisance rénale chronique</w:t>
      </w:r>
    </w:p>
    <w:p w14:paraId="68653267" w14:textId="77777777" w:rsidR="00BB0318" w:rsidRPr="00BB0318" w:rsidRDefault="00BB0318" w:rsidP="00BB0318">
      <w:pPr>
        <w:numPr>
          <w:ilvl w:val="0"/>
          <w:numId w:val="1"/>
        </w:numPr>
        <w:shd w:val="clear" w:color="auto" w:fill="FFFFFF"/>
        <w:spacing w:before="100" w:beforeAutospacing="1" w:after="100" w:afterAutospacing="1" w:line="240" w:lineRule="auto"/>
        <w:ind w:left="0"/>
        <w:rPr>
          <w:rFonts w:ascii="Calibri" w:eastAsia="Times New Roman" w:hAnsi="Calibri" w:cs="Calibri"/>
          <w:color w:val="1A272B"/>
          <w:sz w:val="27"/>
          <w:szCs w:val="27"/>
          <w:lang w:eastAsia="fr-FR"/>
        </w:rPr>
      </w:pPr>
      <w:r w:rsidRPr="00BB0318">
        <w:rPr>
          <w:rFonts w:ascii="Calibri" w:eastAsia="Times New Roman" w:hAnsi="Calibri" w:cs="Calibri"/>
          <w:color w:val="1A272B"/>
          <w:sz w:val="27"/>
          <w:szCs w:val="27"/>
          <w:lang w:eastAsia="fr-FR"/>
        </w:rPr>
        <w:t>cancers et maladies hématologiques malignes actifs de moins de 3 ans</w:t>
      </w:r>
    </w:p>
    <w:p w14:paraId="0D4B756F" w14:textId="77777777" w:rsidR="00082A19" w:rsidRPr="00193AA3" w:rsidRDefault="00BB0318" w:rsidP="00082A19">
      <w:pPr>
        <w:numPr>
          <w:ilvl w:val="0"/>
          <w:numId w:val="1"/>
        </w:numPr>
        <w:shd w:val="clear" w:color="auto" w:fill="FFFFFF"/>
        <w:spacing w:before="100" w:beforeAutospacing="1" w:after="100" w:afterAutospacing="1" w:line="240" w:lineRule="auto"/>
        <w:ind w:left="0"/>
        <w:rPr>
          <w:rFonts w:ascii="Calibri" w:eastAsia="Times New Roman" w:hAnsi="Calibri" w:cs="Calibri"/>
          <w:color w:val="1A272B"/>
          <w:sz w:val="27"/>
          <w:szCs w:val="27"/>
          <w:lang w:eastAsia="fr-FR"/>
        </w:rPr>
      </w:pPr>
      <w:r w:rsidRPr="00BB0318">
        <w:rPr>
          <w:rFonts w:ascii="Calibri" w:eastAsia="Times New Roman" w:hAnsi="Calibri" w:cs="Calibri"/>
          <w:color w:val="1A272B"/>
          <w:sz w:val="27"/>
          <w:szCs w:val="27"/>
          <w:lang w:eastAsia="fr-FR"/>
        </w:rPr>
        <w:t>transplantation d’organe solide ou de cellules souches hématopoïétiques</w:t>
      </w:r>
    </w:p>
    <w:p w14:paraId="22E4D8E6" w14:textId="77777777" w:rsidR="00082A19" w:rsidRPr="00193AA3" w:rsidRDefault="00BB0318" w:rsidP="00082A19">
      <w:pPr>
        <w:numPr>
          <w:ilvl w:val="0"/>
          <w:numId w:val="1"/>
        </w:numPr>
        <w:shd w:val="clear" w:color="auto" w:fill="FFFFFF"/>
        <w:spacing w:before="100" w:beforeAutospacing="1" w:after="100" w:afterAutospacing="1" w:line="240" w:lineRule="auto"/>
        <w:ind w:left="0"/>
        <w:rPr>
          <w:rFonts w:ascii="Calibri" w:eastAsia="Times New Roman" w:hAnsi="Calibri" w:cs="Calibri"/>
          <w:color w:val="1A272B"/>
          <w:sz w:val="27"/>
          <w:szCs w:val="27"/>
          <w:lang w:eastAsia="fr-FR"/>
        </w:rPr>
      </w:pPr>
      <w:r w:rsidRPr="00193AA3">
        <w:rPr>
          <w:rFonts w:ascii="Calibri" w:eastAsia="Times New Roman" w:hAnsi="Calibri" w:cs="Calibri"/>
          <w:color w:val="1A272B"/>
          <w:sz w:val="27"/>
          <w:szCs w:val="27"/>
          <w:lang w:eastAsia="fr-FR"/>
        </w:rPr>
        <w:t> Immunodépression (traitement immuno suppresseur, biothérapie, corticoïdes à doses immunosuppressive, infection VIH non contrôlée ou avec des CD4&lt;200/mm3)</w:t>
      </w:r>
    </w:p>
    <w:p w14:paraId="4061C486" w14:textId="77777777" w:rsidR="00082A19" w:rsidRPr="00193AA3" w:rsidRDefault="00BB0318" w:rsidP="00082A19">
      <w:pPr>
        <w:numPr>
          <w:ilvl w:val="0"/>
          <w:numId w:val="1"/>
        </w:numPr>
        <w:shd w:val="clear" w:color="auto" w:fill="FFFFFF"/>
        <w:spacing w:before="100" w:beforeAutospacing="1" w:after="100" w:afterAutospacing="1" w:line="240" w:lineRule="auto"/>
        <w:ind w:left="0"/>
        <w:rPr>
          <w:rFonts w:ascii="Calibri" w:eastAsia="Times New Roman" w:hAnsi="Calibri" w:cs="Calibri"/>
          <w:color w:val="1A272B"/>
          <w:sz w:val="27"/>
          <w:szCs w:val="27"/>
          <w:lang w:eastAsia="fr-FR"/>
        </w:rPr>
      </w:pPr>
      <w:r w:rsidRPr="00193AA3">
        <w:rPr>
          <w:rFonts w:ascii="Calibri" w:eastAsia="Times New Roman" w:hAnsi="Calibri" w:cs="Calibri"/>
          <w:color w:val="1A272B"/>
          <w:sz w:val="27"/>
          <w:szCs w:val="27"/>
          <w:lang w:eastAsia="fr-FR"/>
        </w:rPr>
        <w:t>Cirrhose</w:t>
      </w:r>
    </w:p>
    <w:p w14:paraId="01BD21C6" w14:textId="77777777" w:rsidR="00082A19" w:rsidRPr="00193AA3" w:rsidRDefault="00BB0318" w:rsidP="00082A19">
      <w:pPr>
        <w:numPr>
          <w:ilvl w:val="0"/>
          <w:numId w:val="1"/>
        </w:numPr>
        <w:shd w:val="clear" w:color="auto" w:fill="FFFFFF"/>
        <w:spacing w:before="100" w:beforeAutospacing="1" w:after="100" w:afterAutospacing="1" w:line="240" w:lineRule="auto"/>
        <w:ind w:left="0"/>
        <w:rPr>
          <w:rFonts w:ascii="Calibri" w:eastAsia="Times New Roman" w:hAnsi="Calibri" w:cs="Calibri"/>
          <w:color w:val="1A272B"/>
          <w:sz w:val="27"/>
          <w:szCs w:val="27"/>
          <w:lang w:eastAsia="fr-FR"/>
        </w:rPr>
      </w:pPr>
      <w:r w:rsidRPr="00193AA3">
        <w:rPr>
          <w:rFonts w:ascii="Calibri" w:eastAsia="Times New Roman" w:hAnsi="Calibri" w:cs="Calibri"/>
          <w:color w:val="1A272B"/>
          <w:sz w:val="27"/>
          <w:szCs w:val="27"/>
          <w:lang w:eastAsia="fr-FR"/>
        </w:rPr>
        <w:t>Drépanocytose</w:t>
      </w:r>
    </w:p>
    <w:p w14:paraId="4FC55B48" w14:textId="77777777" w:rsidR="00082A19" w:rsidRPr="00193AA3" w:rsidRDefault="00BB0318" w:rsidP="00082A19">
      <w:pPr>
        <w:numPr>
          <w:ilvl w:val="0"/>
          <w:numId w:val="1"/>
        </w:numPr>
        <w:shd w:val="clear" w:color="auto" w:fill="FFFFFF"/>
        <w:spacing w:before="100" w:beforeAutospacing="1" w:after="100" w:afterAutospacing="1" w:line="240" w:lineRule="auto"/>
        <w:ind w:left="0"/>
        <w:rPr>
          <w:rFonts w:ascii="Calibri" w:eastAsia="Times New Roman" w:hAnsi="Calibri" w:cs="Calibri"/>
          <w:color w:val="1A272B"/>
          <w:sz w:val="27"/>
          <w:szCs w:val="27"/>
          <w:lang w:eastAsia="fr-FR"/>
        </w:rPr>
      </w:pPr>
      <w:r w:rsidRPr="00193AA3">
        <w:rPr>
          <w:rFonts w:ascii="Calibri" w:eastAsia="Times New Roman" w:hAnsi="Calibri" w:cs="Calibri"/>
          <w:color w:val="1A272B"/>
          <w:sz w:val="27"/>
          <w:szCs w:val="27"/>
          <w:lang w:eastAsia="fr-FR"/>
        </w:rPr>
        <w:t>Splénectomie</w:t>
      </w:r>
    </w:p>
    <w:p w14:paraId="614BB565" w14:textId="77777777" w:rsidR="00BB0318" w:rsidRPr="00193AA3" w:rsidRDefault="00BB0318" w:rsidP="00082A19">
      <w:pPr>
        <w:numPr>
          <w:ilvl w:val="0"/>
          <w:numId w:val="1"/>
        </w:numPr>
        <w:shd w:val="clear" w:color="auto" w:fill="FFFFFF"/>
        <w:spacing w:before="100" w:beforeAutospacing="1" w:after="100" w:afterAutospacing="1" w:line="240" w:lineRule="auto"/>
        <w:ind w:left="0"/>
        <w:rPr>
          <w:rFonts w:ascii="Calibri" w:eastAsia="Times New Roman" w:hAnsi="Calibri" w:cs="Calibri"/>
          <w:color w:val="1A272B"/>
          <w:sz w:val="27"/>
          <w:szCs w:val="27"/>
          <w:lang w:eastAsia="fr-FR"/>
        </w:rPr>
      </w:pPr>
      <w:r w:rsidRPr="00193AA3">
        <w:rPr>
          <w:rFonts w:ascii="Calibri" w:eastAsia="Times New Roman" w:hAnsi="Calibri" w:cs="Calibri"/>
          <w:color w:val="1A272B"/>
          <w:sz w:val="27"/>
          <w:szCs w:val="27"/>
          <w:lang w:eastAsia="fr-FR"/>
        </w:rPr>
        <w:t>Myasthénie, sclérose en plaques, parkinson, hémiplégie…</w:t>
      </w:r>
    </w:p>
    <w:p w14:paraId="307AC52D" w14:textId="77777777" w:rsidR="00BB0318" w:rsidRPr="00BB0318" w:rsidRDefault="00BB0318" w:rsidP="00BB0318">
      <w:pPr>
        <w:shd w:val="clear" w:color="auto" w:fill="FFFFFF"/>
        <w:spacing w:before="100" w:beforeAutospacing="1" w:after="100" w:afterAutospacing="1" w:line="240" w:lineRule="auto"/>
        <w:rPr>
          <w:rFonts w:ascii="Calibri" w:eastAsia="Times New Roman" w:hAnsi="Calibri" w:cs="Calibri"/>
          <w:color w:val="333333"/>
          <w:sz w:val="21"/>
          <w:szCs w:val="21"/>
          <w:lang w:eastAsia="fr-FR"/>
        </w:rPr>
      </w:pPr>
    </w:p>
    <w:p w14:paraId="70EB0EE2" w14:textId="5273C1B6" w:rsidR="00193AA3" w:rsidRDefault="00193AA3" w:rsidP="00193AA3">
      <w:pPr>
        <w:spacing w:after="0" w:line="240" w:lineRule="auto"/>
        <w:rPr>
          <w:rFonts w:ascii="Calibri" w:eastAsia="Times New Roman" w:hAnsi="Calibri" w:cs="Calibri"/>
          <w:b/>
          <w:bCs/>
          <w:color w:val="1A272B"/>
          <w:sz w:val="28"/>
          <w:szCs w:val="28"/>
          <w:lang w:eastAsia="fr-FR"/>
        </w:rPr>
      </w:pPr>
      <w:r w:rsidRPr="00510A0D">
        <w:rPr>
          <w:rFonts w:ascii="Calibri" w:eastAsia="Times New Roman" w:hAnsi="Calibri" w:cs="Calibri"/>
          <w:b/>
          <w:bCs/>
          <w:color w:val="1A272B"/>
          <w:sz w:val="28"/>
          <w:szCs w:val="28"/>
          <w:lang w:eastAsia="fr-FR"/>
        </w:rPr>
        <w:t xml:space="preserve">L’ensemble des personnes volontaires de plus de 50 ans ou présentant des comorbidités avec risque de forme grave de COVID-19 </w:t>
      </w:r>
      <w:r w:rsidR="00793FA2" w:rsidRPr="00510A0D">
        <w:rPr>
          <w:rFonts w:ascii="Calibri" w:eastAsia="Times New Roman" w:hAnsi="Calibri" w:cs="Calibri"/>
          <w:b/>
          <w:bCs/>
          <w:color w:val="1A272B"/>
          <w:sz w:val="28"/>
          <w:szCs w:val="28"/>
          <w:lang w:eastAsia="fr-FR"/>
        </w:rPr>
        <w:t>notamment les professionnels de santé libéraux</w:t>
      </w:r>
      <w:r w:rsidR="00510A0D">
        <w:rPr>
          <w:rFonts w:ascii="Calibri" w:eastAsia="Times New Roman" w:hAnsi="Calibri" w:cs="Calibri"/>
          <w:b/>
          <w:bCs/>
          <w:color w:val="1A272B"/>
          <w:sz w:val="28"/>
          <w:szCs w:val="28"/>
          <w:lang w:eastAsia="fr-FR"/>
        </w:rPr>
        <w:t>.</w:t>
      </w:r>
    </w:p>
    <w:p w14:paraId="09EBEF6D" w14:textId="77777777" w:rsidR="00510A0D" w:rsidRPr="00510A0D" w:rsidRDefault="00510A0D" w:rsidP="00193AA3">
      <w:pPr>
        <w:spacing w:after="0" w:line="240" w:lineRule="auto"/>
        <w:rPr>
          <w:rFonts w:ascii="Calibri" w:eastAsia="Times New Roman" w:hAnsi="Calibri" w:cs="Calibri"/>
          <w:b/>
          <w:bCs/>
          <w:color w:val="1A272B"/>
          <w:sz w:val="28"/>
          <w:szCs w:val="28"/>
          <w:lang w:eastAsia="fr-FR"/>
        </w:rPr>
      </w:pPr>
    </w:p>
    <w:p w14:paraId="04A6F582" w14:textId="77777777" w:rsidR="00BB0318" w:rsidRDefault="00BB0318" w:rsidP="00BB0318">
      <w:pPr>
        <w:shd w:val="clear" w:color="auto" w:fill="FFFFFF"/>
        <w:spacing w:after="0" w:line="240" w:lineRule="auto"/>
        <w:rPr>
          <w:rFonts w:ascii="Calibri" w:eastAsia="Times New Roman" w:hAnsi="Calibri" w:cs="Calibri"/>
          <w:color w:val="212121"/>
          <w:lang w:eastAsia="fr-FR"/>
        </w:rPr>
      </w:pPr>
    </w:p>
    <w:p w14:paraId="14252404" w14:textId="0ABC3965" w:rsidR="00CC420C" w:rsidRPr="00510A0D" w:rsidRDefault="00510A0D" w:rsidP="00BB0318">
      <w:pPr>
        <w:rPr>
          <w:rFonts w:ascii="Calibri" w:eastAsia="Times New Roman" w:hAnsi="Calibri" w:cs="Calibri"/>
          <w:color w:val="1A272B"/>
          <w:sz w:val="27"/>
          <w:szCs w:val="27"/>
          <w:lang w:eastAsia="fr-FR"/>
        </w:rPr>
      </w:pPr>
      <w:r w:rsidRPr="0011405C">
        <w:rPr>
          <w:rFonts w:ascii="Calibri" w:eastAsia="Times New Roman" w:hAnsi="Calibri" w:cs="Calibri"/>
          <w:b/>
          <w:bCs/>
          <w:color w:val="1A272B"/>
          <w:sz w:val="27"/>
          <w:szCs w:val="27"/>
          <w:lang w:eastAsia="fr-FR"/>
        </w:rPr>
        <w:t xml:space="preserve">Attention, </w:t>
      </w:r>
      <w:r w:rsidRPr="00510A0D">
        <w:rPr>
          <w:rFonts w:ascii="Calibri" w:eastAsia="Times New Roman" w:hAnsi="Calibri" w:cs="Calibri"/>
          <w:color w:val="1A272B"/>
          <w:sz w:val="27"/>
          <w:szCs w:val="27"/>
          <w:lang w:eastAsia="fr-FR"/>
        </w:rPr>
        <w:t xml:space="preserve">il </w:t>
      </w:r>
      <w:r w:rsidR="00BE0050">
        <w:rPr>
          <w:rFonts w:ascii="Calibri" w:eastAsia="Times New Roman" w:hAnsi="Calibri" w:cs="Calibri"/>
          <w:color w:val="1A272B"/>
          <w:sz w:val="27"/>
          <w:szCs w:val="27"/>
          <w:lang w:eastAsia="fr-FR"/>
        </w:rPr>
        <w:t xml:space="preserve">est recommandé d’attendre </w:t>
      </w:r>
      <w:r w:rsidRPr="00510A0D">
        <w:rPr>
          <w:rFonts w:ascii="Calibri" w:eastAsia="Times New Roman" w:hAnsi="Calibri" w:cs="Calibri"/>
          <w:color w:val="1A272B"/>
          <w:sz w:val="27"/>
          <w:szCs w:val="27"/>
          <w:lang w:eastAsia="fr-FR"/>
        </w:rPr>
        <w:t xml:space="preserve">3 mois révolus </w:t>
      </w:r>
      <w:r w:rsidR="00B1346B" w:rsidRPr="007C683C">
        <w:rPr>
          <w:rFonts w:ascii="Calibri" w:eastAsia="Times New Roman" w:hAnsi="Calibri" w:cs="Calibri"/>
          <w:color w:val="1A272B"/>
          <w:sz w:val="27"/>
          <w:szCs w:val="27"/>
          <w:lang w:eastAsia="fr-FR"/>
        </w:rPr>
        <w:t xml:space="preserve">après le diagnostic </w:t>
      </w:r>
      <w:r w:rsidR="007C683C" w:rsidRPr="007C683C">
        <w:rPr>
          <w:rFonts w:ascii="Calibri" w:eastAsia="Times New Roman" w:hAnsi="Calibri" w:cs="Calibri"/>
          <w:color w:val="1A272B"/>
          <w:sz w:val="27"/>
          <w:szCs w:val="27"/>
          <w:lang w:eastAsia="fr-FR"/>
        </w:rPr>
        <w:t>d’</w:t>
      </w:r>
      <w:r w:rsidR="00B1346B" w:rsidRPr="007C683C">
        <w:rPr>
          <w:rFonts w:ascii="Calibri" w:eastAsia="Times New Roman" w:hAnsi="Calibri" w:cs="Calibri"/>
          <w:color w:val="1A272B"/>
          <w:sz w:val="27"/>
          <w:szCs w:val="27"/>
          <w:lang w:eastAsia="fr-FR"/>
        </w:rPr>
        <w:t>avoir contracté la Covid-19</w:t>
      </w:r>
      <w:r w:rsidR="007C683C" w:rsidRPr="007C683C">
        <w:rPr>
          <w:rFonts w:ascii="Calibri" w:eastAsia="Times New Roman" w:hAnsi="Calibri" w:cs="Calibri"/>
          <w:color w:val="1A272B"/>
          <w:sz w:val="27"/>
          <w:szCs w:val="27"/>
          <w:lang w:eastAsia="fr-FR"/>
        </w:rPr>
        <w:t xml:space="preserve"> </w:t>
      </w:r>
      <w:r w:rsidR="00B1346B" w:rsidRPr="007C683C">
        <w:rPr>
          <w:rFonts w:ascii="Calibri" w:eastAsia="Times New Roman" w:hAnsi="Calibri" w:cs="Calibri"/>
          <w:color w:val="1A272B"/>
          <w:sz w:val="27"/>
          <w:szCs w:val="27"/>
          <w:lang w:eastAsia="fr-FR"/>
        </w:rPr>
        <w:t>et de s’assurer que la personne ne soit plus symptomatique avant la vaccination.</w:t>
      </w:r>
    </w:p>
    <w:sectPr w:rsidR="00CC420C" w:rsidRPr="00510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111D2"/>
    <w:multiLevelType w:val="multilevel"/>
    <w:tmpl w:val="A7C0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F17435"/>
    <w:multiLevelType w:val="multilevel"/>
    <w:tmpl w:val="CAF4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B2028"/>
    <w:multiLevelType w:val="multilevel"/>
    <w:tmpl w:val="C41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18"/>
    <w:rsid w:val="00082A19"/>
    <w:rsid w:val="0011405C"/>
    <w:rsid w:val="00193AA3"/>
    <w:rsid w:val="00510A0D"/>
    <w:rsid w:val="00793FA2"/>
    <w:rsid w:val="007C683C"/>
    <w:rsid w:val="00B1346B"/>
    <w:rsid w:val="00BB0318"/>
    <w:rsid w:val="00BE0050"/>
    <w:rsid w:val="00CC420C"/>
    <w:rsid w:val="00FC7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5E43"/>
  <w15:chartTrackingRefBased/>
  <w15:docId w15:val="{6C211475-3375-4072-AF3D-6F6330F0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82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193A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0318"/>
    <w:pPr>
      <w:ind w:left="720"/>
      <w:contextualSpacing/>
    </w:pPr>
  </w:style>
  <w:style w:type="character" w:customStyle="1" w:styleId="Titre1Car">
    <w:name w:val="Titre 1 Car"/>
    <w:basedOn w:val="Policepardfaut"/>
    <w:link w:val="Titre1"/>
    <w:uiPriority w:val="9"/>
    <w:rsid w:val="00082A1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82A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82A19"/>
    <w:rPr>
      <w:b/>
      <w:bCs/>
    </w:rPr>
  </w:style>
  <w:style w:type="character" w:customStyle="1" w:styleId="Titre3Car">
    <w:name w:val="Titre 3 Car"/>
    <w:basedOn w:val="Policepardfaut"/>
    <w:link w:val="Titre3"/>
    <w:uiPriority w:val="9"/>
    <w:semiHidden/>
    <w:rsid w:val="00193AA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444196">
      <w:bodyDiv w:val="1"/>
      <w:marLeft w:val="0"/>
      <w:marRight w:val="0"/>
      <w:marTop w:val="0"/>
      <w:marBottom w:val="0"/>
      <w:divBdr>
        <w:top w:val="none" w:sz="0" w:space="0" w:color="auto"/>
        <w:left w:val="none" w:sz="0" w:space="0" w:color="auto"/>
        <w:bottom w:val="none" w:sz="0" w:space="0" w:color="auto"/>
        <w:right w:val="none" w:sz="0" w:space="0" w:color="auto"/>
      </w:divBdr>
    </w:div>
    <w:div w:id="1106462917">
      <w:bodyDiv w:val="1"/>
      <w:marLeft w:val="0"/>
      <w:marRight w:val="0"/>
      <w:marTop w:val="0"/>
      <w:marBottom w:val="0"/>
      <w:divBdr>
        <w:top w:val="none" w:sz="0" w:space="0" w:color="auto"/>
        <w:left w:val="none" w:sz="0" w:space="0" w:color="auto"/>
        <w:bottom w:val="none" w:sz="0" w:space="0" w:color="auto"/>
        <w:right w:val="none" w:sz="0" w:space="0" w:color="auto"/>
      </w:divBdr>
      <w:divsChild>
        <w:div w:id="1548419993">
          <w:marLeft w:val="0"/>
          <w:marRight w:val="0"/>
          <w:marTop w:val="0"/>
          <w:marBottom w:val="300"/>
          <w:divBdr>
            <w:top w:val="none" w:sz="0" w:space="0" w:color="auto"/>
            <w:left w:val="none" w:sz="0" w:space="0" w:color="auto"/>
            <w:bottom w:val="none" w:sz="0" w:space="0" w:color="auto"/>
            <w:right w:val="none" w:sz="0" w:space="0" w:color="auto"/>
          </w:divBdr>
          <w:divsChild>
            <w:div w:id="3263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660">
      <w:bodyDiv w:val="1"/>
      <w:marLeft w:val="0"/>
      <w:marRight w:val="0"/>
      <w:marTop w:val="0"/>
      <w:marBottom w:val="0"/>
      <w:divBdr>
        <w:top w:val="none" w:sz="0" w:space="0" w:color="auto"/>
        <w:left w:val="none" w:sz="0" w:space="0" w:color="auto"/>
        <w:bottom w:val="none" w:sz="0" w:space="0" w:color="auto"/>
        <w:right w:val="none" w:sz="0" w:space="0" w:color="auto"/>
      </w:divBdr>
    </w:div>
    <w:div w:id="1396585275">
      <w:bodyDiv w:val="1"/>
      <w:marLeft w:val="0"/>
      <w:marRight w:val="0"/>
      <w:marTop w:val="0"/>
      <w:marBottom w:val="0"/>
      <w:divBdr>
        <w:top w:val="none" w:sz="0" w:space="0" w:color="auto"/>
        <w:left w:val="none" w:sz="0" w:space="0" w:color="auto"/>
        <w:bottom w:val="none" w:sz="0" w:space="0" w:color="auto"/>
        <w:right w:val="none" w:sz="0" w:space="0" w:color="auto"/>
      </w:divBdr>
    </w:div>
    <w:div w:id="1443913124">
      <w:bodyDiv w:val="1"/>
      <w:marLeft w:val="0"/>
      <w:marRight w:val="0"/>
      <w:marTop w:val="0"/>
      <w:marBottom w:val="0"/>
      <w:divBdr>
        <w:top w:val="none" w:sz="0" w:space="0" w:color="auto"/>
        <w:left w:val="none" w:sz="0" w:space="0" w:color="auto"/>
        <w:bottom w:val="none" w:sz="0" w:space="0" w:color="auto"/>
        <w:right w:val="none" w:sz="0" w:space="0" w:color="auto"/>
      </w:divBdr>
    </w:div>
    <w:div w:id="1730493948">
      <w:bodyDiv w:val="1"/>
      <w:marLeft w:val="0"/>
      <w:marRight w:val="0"/>
      <w:marTop w:val="0"/>
      <w:marBottom w:val="0"/>
      <w:divBdr>
        <w:top w:val="none" w:sz="0" w:space="0" w:color="auto"/>
        <w:left w:val="none" w:sz="0" w:space="0" w:color="auto"/>
        <w:bottom w:val="none" w:sz="0" w:space="0" w:color="auto"/>
        <w:right w:val="none" w:sz="0" w:space="0" w:color="auto"/>
      </w:divBdr>
    </w:div>
    <w:div w:id="1782992176">
      <w:bodyDiv w:val="1"/>
      <w:marLeft w:val="0"/>
      <w:marRight w:val="0"/>
      <w:marTop w:val="0"/>
      <w:marBottom w:val="0"/>
      <w:divBdr>
        <w:top w:val="none" w:sz="0" w:space="0" w:color="auto"/>
        <w:left w:val="none" w:sz="0" w:space="0" w:color="auto"/>
        <w:bottom w:val="none" w:sz="0" w:space="0" w:color="auto"/>
        <w:right w:val="none" w:sz="0" w:space="0" w:color="auto"/>
      </w:divBdr>
    </w:div>
    <w:div w:id="18251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3830</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LEFEBVRE, Myriam</dc:creator>
  <cp:keywords/>
  <dc:description/>
  <cp:lastModifiedBy>Myriam Prost-Lefebvre</cp:lastModifiedBy>
  <cp:revision>2</cp:revision>
  <dcterms:created xsi:type="dcterms:W3CDTF">2021-01-17T17:06:00Z</dcterms:created>
  <dcterms:modified xsi:type="dcterms:W3CDTF">2021-01-17T17:06:00Z</dcterms:modified>
</cp:coreProperties>
</file>